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15E6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506599</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4B9EB2BA">
      <w:pPr>
        <w:tabs>
          <w:tab w:val="left" w:pos="1985"/>
        </w:tabs>
        <w:rPr>
          <w:rFonts w:ascii="Times New Roman" w:hAnsi="Times New Roman"/>
          <w:b/>
          <w:sz w:val="22"/>
          <w:highlight w:val="none"/>
        </w:rPr>
      </w:pPr>
    </w:p>
    <w:p w14:paraId="7F3AEE8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333AC21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777CBD4">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fast SCell activation for UE supporting Rel-18 EMR</w:t>
      </w:r>
    </w:p>
    <w:bookmarkEnd w:id="4"/>
    <w:bookmarkEnd w:id="5"/>
    <w:p w14:paraId="4257958E">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457B6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E3933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fast SCell activation for UE supporting Rel-18 EMR,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04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46788CC">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Fast SCell activation for UE supporting Rel-18 EMR </w:t>
            </w:r>
          </w:p>
          <w:p w14:paraId="0437AC40">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Study and, if feasible, to reduce the SCell activation delay with valid EMR reporting </w:t>
            </w:r>
          </w:p>
          <w:p w14:paraId="1D1E0F08">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Apply fast scell activation in FR1 and FR2-1 </w:t>
            </w:r>
          </w:p>
          <w:p w14:paraId="1C521027">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Note: RAN4 to start this work from Q3’2024 and aim for completion in Dec’2024. Workplan for this bullet can be discussed in May’2024</w:t>
            </w:r>
          </w:p>
        </w:tc>
      </w:tr>
    </w:tbl>
    <w:p w14:paraId="372CE869">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B4E117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fast SCell activation for UE supporting Rel-18 EMR, an a WF was agreed [2]. Most of the open issues about core part are solved,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 capability about fast SCell activation for UE supporting Rel-18 EM</w:t>
      </w:r>
      <w:r>
        <w:rPr>
          <w:rFonts w:hint="eastAsia" w:ascii="Times New Roman" w:hAnsi="Times New Roman"/>
          <w:bCs/>
          <w:iCs/>
          <w:sz w:val="20"/>
          <w:szCs w:val="20"/>
        </w:rPr>
        <w:t>.</w:t>
      </w:r>
    </w:p>
    <w:p w14:paraId="4DCEFC9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p w14:paraId="16B6A755">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WID [1], the objective is to reduce the SCell activation delay with valid EMR reporting. The motivation is that existing known/unknown SCell condition during SCell configuration/activation does not consider whether UE has valid EMR for the target SCell or not, which may cause unnecessary long delay requirement for the target SCell activation. </w:t>
      </w:r>
    </w:p>
    <w:p w14:paraId="7B0202A9">
      <w:pPr>
        <w:tabs>
          <w:tab w:val="left" w:pos="1134"/>
        </w:tabs>
        <w:spacing w:after="180" w:line="240" w:lineRule="exact"/>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The</w:t>
      </w:r>
      <w:r>
        <w:rPr>
          <w:rFonts w:hint="default" w:ascii="Times New Roman" w:hAnsi="Times New Roman" w:cs="Times New Roman"/>
          <w:sz w:val="20"/>
          <w:szCs w:val="20"/>
        </w:rPr>
        <w:t xml:space="preserve"> SCell activation delay requirements </w:t>
      </w:r>
      <w:r>
        <w:rPr>
          <w:rFonts w:hint="eastAsia" w:ascii="Times New Roman" w:hAnsi="Times New Roman" w:cs="Times New Roman"/>
          <w:sz w:val="20"/>
          <w:szCs w:val="20"/>
          <w:lang w:val="en-US" w:eastAsia="zh-CN"/>
        </w:rPr>
        <w:t>for the case that</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 xml:space="preserve">target SCell is </w:t>
      </w:r>
      <w:r>
        <w:rPr>
          <w:rFonts w:hint="default" w:ascii="Times New Roman" w:hAnsi="Times New Roman" w:cs="Times New Roman"/>
          <w:sz w:val="20"/>
          <w:szCs w:val="20"/>
          <w:lang w:eastAsia="zh-CN"/>
        </w:rPr>
        <w:t>unknown</w:t>
      </w:r>
      <w:r>
        <w:rPr>
          <w:rFonts w:hint="eastAsia" w:ascii="Times New Roman" w:hAnsi="Times New Roman" w:cs="Times New Roman"/>
          <w:sz w:val="20"/>
          <w:szCs w:val="20"/>
          <w:lang w:val="en-US" w:eastAsia="zh-CN"/>
        </w:rPr>
        <w:t xml:space="preserve"> is very long</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val="en-US" w:eastAsia="zh-CN"/>
        </w:rPr>
        <w:t>Taking FR1 as example, if the SCell is known, T</w:t>
      </w:r>
      <w:r>
        <w:rPr>
          <w:rFonts w:hint="default" w:ascii="Times New Roman" w:hAnsi="Times New Roman" w:eastAsia="宋体" w:cs="Times New Roman"/>
          <w:sz w:val="20"/>
          <w:szCs w:val="20"/>
          <w:vertAlign w:val="subscript"/>
          <w:lang w:val="en-US" w:eastAsia="zh-CN"/>
        </w:rPr>
        <w:t>activation_time</w:t>
      </w:r>
      <w:r>
        <w:rPr>
          <w:rFonts w:hint="default" w:ascii="Times New Roman" w:hAnsi="Times New Roman" w:eastAsia="宋体" w:cs="Times New Roman"/>
          <w:sz w:val="20"/>
          <w:szCs w:val="20"/>
          <w:lang w:val="en-US" w:eastAsia="zh-CN"/>
        </w:rPr>
        <w:t xml:space="preserve"> is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w:t>
      </w:r>
      <w:r>
        <w:rPr>
          <w:rFonts w:hint="default" w:ascii="Times New Roman" w:hAnsi="Times New Roman" w:cs="Times New Roman"/>
          <w:sz w:val="20"/>
          <w:szCs w:val="20"/>
        </w:rPr>
        <w:t>+ 5ms, if the measurement period of the SCell being activated is equal to or smaller than 2400ms.</w:t>
      </w:r>
      <w:r>
        <w:rPr>
          <w:rFonts w:hint="default" w:ascii="Times New Roman" w:hAnsi="Times New Roman" w:eastAsia="宋体" w:cs="Times New Roman"/>
          <w:sz w:val="20"/>
          <w:szCs w:val="20"/>
          <w:lang w:val="en-US" w:eastAsia="zh-CN"/>
        </w:rPr>
        <w:t xml:space="preserve"> However, if the FR1 SCell is unknown, </w:t>
      </w:r>
      <w:r>
        <w:rPr>
          <w:rFonts w:hint="default" w:ascii="Times New Roman" w:hAnsi="Times New Roman" w:cs="Times New Roman"/>
          <w:sz w:val="20"/>
          <w:szCs w:val="20"/>
          <w:lang w:val="en-GB"/>
        </w:rPr>
        <w:t>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is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6ms + T</w:t>
      </w:r>
      <w:r>
        <w:rPr>
          <w:rFonts w:hint="default" w:ascii="Times New Roman" w:hAnsi="Times New Roman" w:cs="Times New Roman"/>
          <w:sz w:val="20"/>
          <w:szCs w:val="20"/>
          <w:vertAlign w:val="subscript"/>
          <w:lang w:val="en-US" w:eastAsia="zh-CN"/>
        </w:rPr>
        <w:t>FirstSSB_MAX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SMTC_MAX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rs</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 measure</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L1-RSRP,report</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HARQ</w:t>
      </w:r>
      <w:r>
        <w:rPr>
          <w:rFonts w:hint="default" w:ascii="Times New Roman" w:hAnsi="Times New Roman" w:cs="Times New Roman"/>
          <w:sz w:val="20"/>
          <w:szCs w:val="20"/>
          <w:lang w:val="en-US" w:eastAsia="zh-CN"/>
        </w:rPr>
        <w:t xml:space="preserve"> + max(T</w:t>
      </w:r>
      <w:r>
        <w:rPr>
          <w:rFonts w:hint="default" w:ascii="Times New Roman" w:hAnsi="Times New Roman" w:cs="Times New Roman"/>
          <w:sz w:val="20"/>
          <w:szCs w:val="20"/>
          <w:vertAlign w:val="subscript"/>
          <w:lang w:val="en-US" w:eastAsia="zh-CN"/>
        </w:rPr>
        <w:t>uncertainty_MAC</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FineTiming</w:t>
      </w:r>
      <w:r>
        <w:rPr>
          <w:rFonts w:hint="default" w:ascii="Times New Roman" w:hAnsi="Times New Roman" w:cs="Times New Roman"/>
          <w:sz w:val="20"/>
          <w:szCs w:val="20"/>
          <w:lang w:val="en-US" w:eastAsia="zh-CN"/>
        </w:rPr>
        <w:t xml:space="preserve"> + 2ms, T</w:t>
      </w:r>
      <w:r>
        <w:rPr>
          <w:rFonts w:hint="default" w:ascii="Times New Roman" w:hAnsi="Times New Roman" w:cs="Times New Roman"/>
          <w:sz w:val="20"/>
          <w:szCs w:val="20"/>
          <w:vertAlign w:val="subscript"/>
          <w:lang w:val="en-US" w:eastAsia="zh-CN"/>
        </w:rPr>
        <w:t>uncertainty_SP</w:t>
      </w:r>
      <w:r>
        <w:rPr>
          <w:rFonts w:hint="default" w:ascii="Times New Roman" w:hAnsi="Times New Roman" w:cs="Times New Roman"/>
          <w:sz w:val="20"/>
          <w:szCs w:val="20"/>
          <w:lang w:val="en-US" w:eastAsia="zh-CN"/>
        </w:rPr>
        <w:t xml:space="preserve">), if semi-persistent CSI-RS is used for CSI reporting. </w:t>
      </w:r>
    </w:p>
    <w:p w14:paraId="30B0DED4">
      <w:pPr>
        <w:pStyle w:val="15"/>
        <w:ind w:left="568" w:leftChars="0" w:firstLine="0"/>
        <w:rPr>
          <w:rFonts w:hint="eastAsia" w:eastAsia="宋体"/>
          <w:lang w:val="en-US" w:eastAsia="zh-CN"/>
        </w:rPr>
      </w:pPr>
      <w:r>
        <w:rPr>
          <w:rFonts w:hint="eastAsia" w:ascii="Times New Roman" w:hAnsi="Times New Roman"/>
          <w:sz w:val="20"/>
          <w:szCs w:val="20"/>
          <w:lang w:val="en-US" w:eastAsia="zh-CN"/>
        </w:rPr>
        <w:t>According to the agreements on fast SCell activation for UE supporting Rel-18 EMR</w:t>
      </w:r>
      <w:r>
        <w:rPr>
          <w:rFonts w:hint="eastAsia"/>
          <w:sz w:val="20"/>
          <w:szCs w:val="20"/>
          <w:lang w:val="en-US" w:eastAsia="zh-CN"/>
        </w:rPr>
        <w:t xml:space="preserve"> [2] [3]</w:t>
      </w:r>
      <w:r>
        <w:rPr>
          <w:rFonts w:hint="eastAsia" w:ascii="Times New Roman" w:hAnsi="Times New Roman"/>
          <w:sz w:val="20"/>
          <w:szCs w:val="20"/>
          <w:lang w:val="en-US" w:eastAsia="zh-CN"/>
        </w:rPr>
        <w:t xml:space="preserve">, with valid EMR reporting, taking unknown FR1 SCell as an example, the activation delay could be reduced to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t>if the following conditions</w:t>
      </w:r>
      <w:r>
        <w:rPr>
          <w:rFonts w:hint="eastAsia"/>
          <w:lang w:eastAsia="zh-CN"/>
        </w:rPr>
        <w:t xml:space="preserve"> are met</w:t>
      </w:r>
      <w:r>
        <w:t>:</w:t>
      </w:r>
      <w:r>
        <w:rPr>
          <w:rFonts w:hint="eastAsia"/>
          <w:lang w:val="en-US" w:eastAsia="zh-CN"/>
        </w:rPr>
        <w:t xml:space="preserve"> </w:t>
      </w:r>
    </w:p>
    <w:p w14:paraId="5553E411">
      <w:pPr>
        <w:pStyle w:val="15"/>
        <w:ind w:left="524" w:leftChars="100"/>
        <w:rPr>
          <w:u w:val="none"/>
        </w:rPr>
      </w:pPr>
      <w:r>
        <w:t>-</w:t>
      </w:r>
      <w:r>
        <w:tab/>
      </w:r>
      <w:r>
        <w:rPr>
          <w:u w:val="none"/>
        </w:rPr>
        <w:t>During the period equal to 5</w:t>
      </w:r>
      <w:r>
        <w:rPr>
          <w:rFonts w:hint="eastAsia"/>
          <w:u w:val="none"/>
          <w:lang w:eastAsia="zh-CN"/>
        </w:rPr>
        <w:t>s</w:t>
      </w:r>
      <w:r>
        <w:rPr>
          <w:u w:val="none"/>
        </w:rPr>
        <w:t xml:space="preserve"> for FR1 before the reception of the SCell activation command:</w:t>
      </w:r>
    </w:p>
    <w:p w14:paraId="0E614B40">
      <w:pPr>
        <w:pStyle w:val="15"/>
        <w:ind w:left="480" w:leftChars="200" w:firstLine="0"/>
        <w:rPr>
          <w:u w:val="none"/>
          <w:lang w:eastAsia="zh-CN"/>
        </w:rPr>
      </w:pPr>
      <w:r>
        <w:rPr>
          <w:u w:val="none"/>
        </w:rPr>
        <w:t>-</w:t>
      </w:r>
      <w:r>
        <w:rPr>
          <w:u w:val="none"/>
        </w:rPr>
        <w:tab/>
      </w:r>
      <w:r>
        <w:rPr>
          <w:u w:val="none"/>
        </w:rPr>
        <w:t>the UE has sent a</w:t>
      </w:r>
      <w:r>
        <w:rPr>
          <w:rFonts w:hint="eastAsia"/>
          <w:u w:val="none"/>
          <w:lang w:val="en-US" w:eastAsia="zh-CN"/>
        </w:rPr>
        <w:t xml:space="preserve"> measurement</w:t>
      </w:r>
      <w:r>
        <w:rPr>
          <w:u w:val="none"/>
        </w:rPr>
        <w:t xml:space="preserve"> report</w:t>
      </w:r>
      <w:r>
        <w:rPr>
          <w:rFonts w:hint="eastAsia"/>
          <w:u w:val="none"/>
          <w:lang w:val="en-US" w:eastAsia="zh-CN"/>
        </w:rPr>
        <w:t xml:space="preserve"> </w:t>
      </w:r>
      <w:r>
        <w:rPr>
          <w:u w:val="none"/>
        </w:rPr>
        <w:t>with</w:t>
      </w:r>
      <w:r>
        <w:rPr>
          <w:rFonts w:hint="eastAsia"/>
          <w:u w:val="none"/>
          <w:lang w:val="en-US" w:eastAsia="zh-CN"/>
        </w:rPr>
        <w:t xml:space="preserve"> </w:t>
      </w:r>
      <w:r>
        <w:rPr>
          <w:rFonts w:hint="eastAsia"/>
          <w:u w:val="none"/>
          <w:lang w:eastAsia="zh-CN"/>
        </w:rPr>
        <w:t>SSB index</w:t>
      </w:r>
      <w:r>
        <w:rPr>
          <w:rFonts w:hint="eastAsia"/>
          <w:u w:val="none"/>
          <w:lang w:val="en-US" w:eastAsia="zh-CN"/>
        </w:rPr>
        <w:t xml:space="preserve"> </w:t>
      </w:r>
      <w:r>
        <w:rPr>
          <w:rFonts w:hint="eastAsia"/>
          <w:u w:val="none"/>
          <w:lang w:eastAsia="zh-CN"/>
        </w:rPr>
        <w:t xml:space="preserve"> </w:t>
      </w:r>
    </w:p>
    <w:p w14:paraId="45909F61">
      <w:pPr>
        <w:pStyle w:val="15"/>
        <w:ind w:left="524" w:leftChars="100"/>
        <w:rPr>
          <w:u w:val="none"/>
        </w:rPr>
      </w:pPr>
      <w:r>
        <w:rPr>
          <w:u w:val="none"/>
        </w:rPr>
        <w:t>-</w:t>
      </w:r>
      <w:r>
        <w:rPr>
          <w:u w:val="none"/>
        </w:rPr>
        <w:tab/>
      </w:r>
      <w:r>
        <w:rPr>
          <w:u w:val="none"/>
        </w:rPr>
        <w:t xml:space="preserve">the SSB </w:t>
      </w:r>
      <w:r>
        <w:rPr>
          <w:rFonts w:hint="eastAsia"/>
          <w:u w:val="none"/>
          <w:lang w:eastAsia="zh-CN"/>
        </w:rPr>
        <w:t xml:space="preserve">measured is </w:t>
      </w:r>
      <w:r>
        <w:rPr>
          <w:rFonts w:hint="default"/>
          <w:u w:val="none"/>
          <w:lang w:eastAsia="zh-CN"/>
        </w:rPr>
        <w:t>detectable</w:t>
      </w:r>
      <w:r>
        <w:rPr>
          <w:u w:val="none"/>
        </w:rPr>
        <w:t xml:space="preserve"> from the earliest measurement to the end of the defined SCell activation latency (i.e.</w:t>
      </w:r>
      <w:r>
        <w:rPr>
          <w:rFonts w:hint="eastAsia"/>
          <w:u w:val="none"/>
          <w:lang w:eastAsia="zh-CN"/>
        </w:rPr>
        <w:t>,</w:t>
      </w:r>
      <w:r>
        <w:rPr>
          <w:u w:val="none"/>
        </w:rPr>
        <w:t xml:space="preserve"> a valid CQI reporting)</w:t>
      </w:r>
    </w:p>
    <w:p w14:paraId="140AB4B7">
      <w:pPr>
        <w:pStyle w:val="15"/>
        <w:ind w:left="480" w:leftChars="200" w:firstLine="0"/>
        <w:rPr>
          <w:bCs w:val="0"/>
          <w:szCs w:val="20"/>
        </w:rPr>
      </w:pPr>
      <w:r>
        <w:t>-</w:t>
      </w:r>
      <w:r>
        <w:tab/>
      </w:r>
      <w:r>
        <w:rPr>
          <w:bCs w:val="0"/>
          <w:szCs w:val="20"/>
          <w:highlight w:val="none"/>
        </w:rPr>
        <w:t xml:space="preserve">If </w:t>
      </w:r>
      <w:r>
        <w:rPr>
          <w:i/>
          <w:iCs/>
          <w:highlight w:val="none"/>
          <w:lang w:val="en-US"/>
        </w:rPr>
        <w:t>measIdleValidityDuration-r18</w:t>
      </w:r>
      <w:r>
        <w:rPr>
          <w:highlight w:val="none"/>
          <w:lang w:val="en-US"/>
        </w:rPr>
        <w:t xml:space="preserve"> </w:t>
      </w:r>
      <w:r>
        <w:rPr>
          <w:rFonts w:hint="eastAsia"/>
          <w:highlight w:val="none"/>
          <w:lang w:val="en-US" w:eastAsia="zh-CN"/>
        </w:rPr>
        <w:t xml:space="preserve">or </w:t>
      </w:r>
      <w:r>
        <w:rPr>
          <w:i/>
          <w:iCs/>
          <w:highlight w:val="none"/>
          <w:lang w:val="en-US"/>
        </w:rPr>
        <w:t>measReselectionValidityDuration-r18</w:t>
      </w:r>
      <w:r>
        <w:rPr>
          <w:highlight w:val="none"/>
          <w:lang w:val="en-US"/>
        </w:rPr>
        <w:t xml:space="preserve"> </w:t>
      </w:r>
      <w:r>
        <w:rPr>
          <w:highlight w:val="none"/>
        </w:rPr>
        <w:t>is configured</w:t>
      </w:r>
      <w:r>
        <w:rPr>
          <w:bCs w:val="0"/>
          <w:szCs w:val="20"/>
          <w:highlight w:val="none"/>
        </w:rPr>
        <w:t xml:space="preserve">, </w:t>
      </w:r>
      <w:r>
        <w:rPr>
          <w:highlight w:val="none"/>
        </w:rPr>
        <w:t xml:space="preserve">the earliest measurement </w:t>
      </w:r>
      <w:r>
        <w:rPr>
          <w:bCs w:val="0"/>
          <w:szCs w:val="20"/>
          <w:highlight w:val="none"/>
        </w:rPr>
        <w:t xml:space="preserve">refers to the time instance </w:t>
      </w:r>
      <w:r>
        <w:rPr>
          <w:bCs w:val="0"/>
          <w:i/>
          <w:iCs/>
          <w:szCs w:val="20"/>
          <w:highlight w:val="none"/>
        </w:rPr>
        <w:t>measIdleValidityDuration-r18</w:t>
      </w:r>
      <w:r>
        <w:rPr>
          <w:bCs w:val="0"/>
          <w:szCs w:val="20"/>
          <w:highlight w:val="none"/>
        </w:rPr>
        <w:t xml:space="preserve"> or </w:t>
      </w:r>
      <w:r>
        <w:rPr>
          <w:bCs w:val="0"/>
          <w:i/>
          <w:iCs/>
          <w:szCs w:val="20"/>
          <w:highlight w:val="none"/>
        </w:rPr>
        <w:t>measReselectionValidityDuration-r18</w:t>
      </w:r>
      <w:r>
        <w:rPr>
          <w:bCs w:val="0"/>
          <w:szCs w:val="20"/>
          <w:highlight w:val="none"/>
        </w:rPr>
        <w:t xml:space="preserve"> before Msg1 transmission.</w:t>
      </w:r>
    </w:p>
    <w:p w14:paraId="224789EB">
      <w:pPr>
        <w:pStyle w:val="15"/>
        <w:ind w:left="480" w:leftChars="200" w:firstLine="0"/>
        <w:rPr>
          <w:lang w:eastAsia="zh-CN"/>
        </w:rPr>
      </w:pPr>
      <w:r>
        <w:t>-</w:t>
      </w:r>
      <w:r>
        <w:tab/>
      </w:r>
      <w:r>
        <w:rPr>
          <w:bCs w:val="0"/>
          <w:szCs w:val="20"/>
        </w:rPr>
        <w:t>If</w:t>
      </w:r>
      <w:r>
        <w:rPr>
          <w:rFonts w:hint="eastAsia"/>
          <w:bCs w:val="0"/>
          <w:szCs w:val="20"/>
          <w:lang w:val="en-US" w:eastAsia="zh-CN"/>
        </w:rPr>
        <w:t xml:space="preserve"> only</w:t>
      </w:r>
      <w:r>
        <w:rPr>
          <w:bCs w:val="0"/>
          <w:szCs w:val="20"/>
        </w:rPr>
        <w:t xml:space="preserve"> </w:t>
      </w:r>
      <w:r>
        <w:rPr>
          <w:rFonts w:eastAsia="Yu Mincho"/>
          <w:i/>
          <w:iCs/>
          <w:highlight w:val="none"/>
          <w:lang w:eastAsia="en-US"/>
        </w:rPr>
        <w:t>measIdleDuration-r16</w:t>
      </w:r>
      <w:r>
        <w:rPr>
          <w:rFonts w:hint="eastAsia"/>
          <w:i/>
          <w:iCs/>
          <w:highlight w:val="none"/>
          <w:lang w:val="en-US" w:eastAsia="zh-CN"/>
        </w:rPr>
        <w:t xml:space="preserve"> </w:t>
      </w:r>
      <w:r>
        <w:rPr>
          <w:rFonts w:hint="eastAsia"/>
          <w:i w:val="0"/>
          <w:iCs w:val="0"/>
          <w:highlight w:val="none"/>
          <w:lang w:val="en-US" w:eastAsia="zh-CN"/>
        </w:rPr>
        <w:t>is configured</w:t>
      </w:r>
      <w:r>
        <w:rPr>
          <w:bCs w:val="0"/>
          <w:szCs w:val="20"/>
        </w:rPr>
        <w:t xml:space="preserve">, </w:t>
      </w:r>
      <w:r>
        <w:t xml:space="preserve">the earliest measurement </w:t>
      </w:r>
      <w:r>
        <w:rPr>
          <w:bCs w:val="0"/>
          <w:szCs w:val="20"/>
        </w:rPr>
        <w:t>refers to the time instance when the UE obtained the configuration parameter.</w:t>
      </w:r>
      <w:r>
        <w:rPr>
          <w:rFonts w:hint="eastAsia"/>
          <w:bCs w:val="0"/>
          <w:szCs w:val="20"/>
          <w:lang w:val="en-US" w:eastAsia="zh-CN"/>
        </w:rPr>
        <w:t xml:space="preserve"> </w:t>
      </w:r>
    </w:p>
    <w:p w14:paraId="407694DC">
      <w:pPr>
        <w:tabs>
          <w:tab w:val="left" w:pos="1134"/>
        </w:tabs>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With valid EMR report, the unknown SCell activation delay are reduced provided the conditions are met, and these conditions could ensure that the previous measurement results can be used to reduce the SCell activation delay. It can be seen that UE only use the EMR measurement to reduce activation delay, no additional effort are needed. While for EMR, the related UE capabilities are already introduced in previous releases.</w:t>
      </w:r>
    </w:p>
    <w:p w14:paraId="18F246AC">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discussion about applicability, fast SCell activation delay requirements apply to following cases:</w:t>
      </w:r>
    </w:p>
    <w:p w14:paraId="648CC9CD">
      <w:pPr>
        <w:numPr>
          <w:ilvl w:val="0"/>
          <w:numId w:val="4"/>
        </w:numPr>
        <w:tabs>
          <w:tab w:val="left" w:pos="1134"/>
        </w:tabs>
        <w:spacing w:after="180" w:line="240" w:lineRule="exact"/>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UE supports measValidationReportEMR and measIdleValidityDuration-r18 is configured or,  </w:t>
      </w:r>
    </w:p>
    <w:p w14:paraId="6873FE7D">
      <w:pPr>
        <w:numPr>
          <w:ilvl w:val="0"/>
          <w:numId w:val="4"/>
        </w:numPr>
        <w:tabs>
          <w:tab w:val="left" w:pos="1134"/>
        </w:tabs>
        <w:spacing w:after="180" w:line="240" w:lineRule="exact"/>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UE supports measValidationReportReselectionMeasurements and measReselectionValidityDuration-r18 is configured or, </w:t>
      </w:r>
    </w:p>
    <w:p w14:paraId="11DA5572">
      <w:pPr>
        <w:numPr>
          <w:ilvl w:val="0"/>
          <w:numId w:val="4"/>
        </w:numPr>
        <w:tabs>
          <w:tab w:val="left" w:pos="1134"/>
        </w:tabs>
        <w:spacing w:after="180" w:line="240" w:lineRule="exact"/>
        <w:ind w:left="42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neither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nor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highlight w:val="none"/>
          <w:lang w:val="en-US" w:eastAsia="zh-CN"/>
        </w:rPr>
        <w:t xml:space="preserve"> and </w:t>
      </w:r>
      <w:r>
        <w:rPr>
          <w:rFonts w:hint="default" w:ascii="Times New Roman" w:hAnsi="Times New Roman" w:cs="Times New Roman"/>
          <w:i/>
          <w:iCs/>
          <w:sz w:val="20"/>
          <w:szCs w:val="20"/>
        </w:rPr>
        <w:t>measIdleDuration-r16</w:t>
      </w:r>
      <w:r>
        <w:rPr>
          <w:rFonts w:hint="default" w:ascii="Times New Roman" w:hAnsi="Times New Roman" w:eastAsia="Yu Mincho" w:cs="Times New Roman"/>
          <w:sz w:val="20"/>
          <w:szCs w:val="20"/>
          <w:highlight w:val="none"/>
          <w:lang w:eastAsia="en-US"/>
        </w:rPr>
        <w:t xml:space="preserve"> hasn’t expired at the moment of initiation of RRC state transition to Connected mode</w:t>
      </w:r>
      <w:r>
        <w:rPr>
          <w:rFonts w:hint="default" w:ascii="Times New Roman" w:hAnsi="Times New Roman" w:cs="Times New Roman"/>
          <w:sz w:val="20"/>
          <w:szCs w:val="20"/>
          <w:highlight w:val="none"/>
          <w:lang w:eastAsia="zh-CN"/>
        </w:rPr>
        <w:t>,</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w:t>
      </w:r>
    </w:p>
    <w:p w14:paraId="51B97C75">
      <w:pPr>
        <w:tabs>
          <w:tab w:val="left" w:pos="1134"/>
        </w:tabs>
        <w:spacing w:after="180" w:line="240" w:lineRule="exact"/>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 xml:space="preserve">The above first two cases are about Rel-18 eEMR (i.e. fast CA/DC setup) , which mainly focus on the validity check in order to report the valid measurement results. Measurement validation and report based on both EMR measurement and reselection measurements are supported, and UE capability </w:t>
      </w:r>
      <w:r>
        <w:rPr>
          <w:rFonts w:hint="eastAsia" w:ascii="Times New Roman" w:hAnsi="Times New Roman"/>
          <w:i/>
          <w:iCs/>
          <w:sz w:val="20"/>
          <w:szCs w:val="20"/>
          <w:lang w:val="en-US" w:eastAsia="zh-CN"/>
        </w:rPr>
        <w:t>measValidationReportEMR-r18</w:t>
      </w:r>
      <w:r>
        <w:rPr>
          <w:rFonts w:hint="eastAsia" w:ascii="Times New Roman" w:hAnsi="Times New Roman"/>
          <w:sz w:val="20"/>
          <w:szCs w:val="20"/>
          <w:lang w:val="en-US" w:eastAsia="zh-CN"/>
        </w:rPr>
        <w:t xml:space="preserve"> for valid report based on EMR measurement and UE capability </w:t>
      </w:r>
      <w:r>
        <w:rPr>
          <w:rFonts w:hint="eastAsia" w:ascii="Times New Roman" w:hAnsi="Times New Roman"/>
          <w:i/>
          <w:iCs/>
          <w:sz w:val="20"/>
          <w:szCs w:val="20"/>
          <w:lang w:val="en-US" w:eastAsia="zh-CN"/>
        </w:rPr>
        <w:t>measValidationReportReselectionMeasurements-r18</w:t>
      </w:r>
      <w:r>
        <w:rPr>
          <w:rFonts w:hint="eastAsia" w:ascii="Times New Roman" w:hAnsi="Times New Roman"/>
          <w:sz w:val="20"/>
          <w:szCs w:val="20"/>
          <w:lang w:val="en-US" w:eastAsia="zh-CN"/>
        </w:rPr>
        <w:t xml:space="preserve"> for valid report based on reselection measurements are introduced in Rel-18.The above third case is about Rel-16 EMR, and UE capability</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i/>
          <w:sz w:val="20"/>
          <w:szCs w:val="20"/>
        </w:rPr>
        <w:t>idleInactiveNR-MeasReport-r16</w:t>
      </w:r>
      <w:r>
        <w:rPr>
          <w:rFonts w:hint="default" w:ascii="Times New Roman" w:hAnsi="Times New Roman" w:cs="Times New Roman"/>
          <w:bCs/>
          <w:iCs/>
          <w:sz w:val="20"/>
          <w:szCs w:val="20"/>
        </w:rPr>
        <w:t xml:space="preserve"> or </w:t>
      </w:r>
      <w:r>
        <w:rPr>
          <w:rFonts w:hint="default" w:ascii="Times New Roman" w:hAnsi="Times New Roman" w:cs="Times New Roman"/>
          <w:bCs/>
          <w:i/>
          <w:sz w:val="20"/>
          <w:szCs w:val="20"/>
        </w:rPr>
        <w:t>idleInactiveEUTRA-MeasReport-r16</w:t>
      </w:r>
      <w:r>
        <w:rPr>
          <w:rFonts w:hint="default" w:ascii="Times New Roman" w:hAnsi="Times New Roman" w:cs="Times New Roman"/>
          <w:bCs/>
          <w:i/>
          <w:sz w:val="20"/>
          <w:szCs w:val="20"/>
          <w:lang w:val="en-US" w:eastAsia="zh-CN"/>
        </w:rPr>
        <w:t xml:space="preserve"> </w:t>
      </w:r>
      <w:r>
        <w:rPr>
          <w:rFonts w:hint="default" w:ascii="Times New Roman" w:hAnsi="Times New Roman" w:cs="Times New Roman"/>
          <w:sz w:val="20"/>
          <w:szCs w:val="20"/>
          <w:lang w:val="en-US" w:eastAsia="zh-CN"/>
        </w:rPr>
        <w:t>are introduced.</w:t>
      </w:r>
    </w:p>
    <w:p w14:paraId="21D777AF">
      <w:pPr>
        <w:tabs>
          <w:tab w:val="left" w:pos="1134"/>
        </w:tabs>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Based on above analysis, it can be seen that unknown SCell activation delay is reduced based on the EMR/eEMR measurement, no additional UE effort are needed. And the UE capabilities about EMR/eEMR are already introduced in previous releases. We do not see the necessity to have additional UE capability for fast SCell activation with Rel-18 eEMR report.</w:t>
      </w:r>
    </w:p>
    <w:p w14:paraId="5BACC8D2">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not necessary to introduce additional UE capability for fast SCell activation with Rel-18 eEMR report.</w:t>
      </w:r>
    </w:p>
    <w:p w14:paraId="4B422462">
      <w:pPr>
        <w:tabs>
          <w:tab w:val="left" w:pos="1134"/>
        </w:tabs>
        <w:spacing w:after="180" w:line="240" w:lineRule="exact"/>
        <w:rPr>
          <w:rFonts w:hint="default" w:ascii="Times New Roman" w:hAnsi="Times New Roman" w:eastAsia="宋体" w:cs="Times New Roman"/>
          <w:sz w:val="20"/>
          <w:szCs w:val="20"/>
          <w:lang w:val="en-US" w:eastAsia="zh-CN"/>
        </w:rPr>
      </w:pPr>
    </w:p>
    <w:bookmarkEnd w:id="6"/>
    <w:bookmarkEnd w:id="7"/>
    <w:p w14:paraId="1785279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FB5E09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fast SCell activation for UE supporting Rel-18 EMR. The proposals are:</w:t>
      </w:r>
    </w:p>
    <w:p w14:paraId="02DA5EA4">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1: it is not necessary to introduce additional UE capability for fast SCell activation with Rel-18 eEMR report.</w:t>
      </w:r>
    </w:p>
    <w:p w14:paraId="51784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D2CE6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1EFC468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0DB6947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512105B3">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R4-2420094</w:t>
      </w:r>
      <w:r>
        <w:rPr>
          <w:rFonts w:hint="eastAsia" w:ascii="Times" w:hAnsi="Times" w:eastAsia="宋体"/>
          <w:b w:val="0"/>
          <w:sz w:val="20"/>
          <w:lang w:val="en-US" w:eastAsia="zh-CN"/>
        </w:rPr>
        <w:t>, WF on RRM requirements for NR_RRM_Ph5_Part2, CATT</w:t>
      </w:r>
    </w:p>
    <w:p w14:paraId="446CC491">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R4-2420132</w:t>
      </w:r>
      <w:r>
        <w:rPr>
          <w:rFonts w:hint="eastAsia" w:ascii="Times" w:hAnsi="Times" w:eastAsia="宋体"/>
          <w:b w:val="0"/>
          <w:sz w:val="20"/>
          <w:lang w:val="en-US" w:eastAsia="zh-CN"/>
        </w:rPr>
        <w:t xml:space="preserve">, </w:t>
      </w:r>
      <w:r>
        <w:rPr>
          <w:rFonts w:hint="eastAsia" w:ascii="Times" w:hAnsi="Times" w:eastAsia="宋体"/>
          <w:b w:val="0"/>
          <w:sz w:val="20"/>
          <w:lang w:eastAsia="zh-CN"/>
        </w:rPr>
        <w:t>draftCR on Fast SCell activation for UE supporting Rel-18 eEMR</w:t>
      </w:r>
    </w:p>
    <w:p w14:paraId="77701D4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R4-2416854</w:t>
      </w:r>
      <w:r>
        <w:rPr>
          <w:rFonts w:hint="eastAsia" w:ascii="Times" w:hAnsi="Times" w:eastAsia="宋体"/>
          <w:b w:val="0"/>
          <w:sz w:val="20"/>
          <w:lang w:val="en-US" w:eastAsia="zh-CN"/>
        </w:rPr>
        <w:t>, WF on RRM requirements for NR_RRM_Ph5_Part2, CATT</w:t>
      </w:r>
    </w:p>
    <w:p w14:paraId="2DD9AA23">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R4-2414041, WF on NR_RRM_Ph5_Part2 - fast SCell activation, CATT</w:t>
      </w:r>
    </w:p>
    <w:p w14:paraId="62B59190">
      <w:pPr>
        <w:pStyle w:val="13"/>
        <w:framePr w:wrap="auto" w:vAnchor="margin" w:hAnchor="text" w:yAlign="inline"/>
        <w:ind w:right="400"/>
        <w:jc w:val="both"/>
        <w:rPr>
          <w:rFonts w:hint="eastAsia" w:ascii="Times" w:hAnsi="Times" w:eastAsia="宋体"/>
          <w:b w:val="0"/>
          <w:sz w:val="20"/>
          <w:lang w:val="en-US" w:eastAsia="zh-CN"/>
        </w:rPr>
      </w:pPr>
    </w:p>
    <w:p w14:paraId="442BF3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93B25"/>
    <w:multiLevelType w:val="multilevel"/>
    <w:tmpl w:val="A8E93B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420" w:hanging="420"/>
      </w:pPr>
      <w:rPr>
        <w:rFonts w:hint="default" w:ascii="Wingdings" w:hAnsi="Wingdings"/>
      </w:rPr>
    </w:lvl>
    <w:lvl w:ilvl="3" w:tentative="0">
      <w:start w:val="1"/>
      <w:numFmt w:val="bullet"/>
      <w:lvlText w:val=""/>
      <w:lvlJc w:val="left"/>
      <w:pPr>
        <w:tabs>
          <w:tab w:val="left" w:pos="1680"/>
        </w:tabs>
        <w:ind w:left="0" w:hanging="420"/>
      </w:pPr>
      <w:rPr>
        <w:rFonts w:hint="default" w:ascii="Wingdings" w:hAnsi="Wingdings"/>
      </w:rPr>
    </w:lvl>
    <w:lvl w:ilvl="4" w:tentative="0">
      <w:start w:val="1"/>
      <w:numFmt w:val="bullet"/>
      <w:lvlText w:val=""/>
      <w:lvlJc w:val="left"/>
      <w:pPr>
        <w:tabs>
          <w:tab w:val="left" w:pos="2100"/>
        </w:tabs>
        <w:ind w:left="420" w:hanging="420"/>
      </w:pPr>
      <w:rPr>
        <w:rFonts w:hint="default" w:ascii="Wingdings" w:hAnsi="Wingdings"/>
      </w:rPr>
    </w:lvl>
    <w:lvl w:ilvl="5" w:tentative="0">
      <w:start w:val="1"/>
      <w:numFmt w:val="bullet"/>
      <w:lvlText w:val=""/>
      <w:lvlJc w:val="left"/>
      <w:pPr>
        <w:tabs>
          <w:tab w:val="left" w:pos="2520"/>
        </w:tabs>
        <w:ind w:left="840" w:hanging="420"/>
      </w:pPr>
      <w:rPr>
        <w:rFonts w:hint="default" w:ascii="Wingdings" w:hAnsi="Wingdings"/>
      </w:rPr>
    </w:lvl>
    <w:lvl w:ilvl="6" w:tentative="0">
      <w:start w:val="1"/>
      <w:numFmt w:val="bullet"/>
      <w:lvlText w:val=""/>
      <w:lvlJc w:val="left"/>
      <w:pPr>
        <w:tabs>
          <w:tab w:val="left" w:pos="2940"/>
        </w:tabs>
        <w:ind w:left="1260" w:hanging="420"/>
      </w:pPr>
      <w:rPr>
        <w:rFonts w:hint="default" w:ascii="Wingdings" w:hAnsi="Wingdings"/>
      </w:rPr>
    </w:lvl>
    <w:lvl w:ilvl="7" w:tentative="0">
      <w:start w:val="1"/>
      <w:numFmt w:val="bullet"/>
      <w:lvlText w:val=""/>
      <w:lvlJc w:val="left"/>
      <w:pPr>
        <w:tabs>
          <w:tab w:val="left" w:pos="3360"/>
        </w:tabs>
        <w:ind w:left="1680" w:hanging="420"/>
      </w:pPr>
      <w:rPr>
        <w:rFonts w:hint="default" w:ascii="Wingdings" w:hAnsi="Wingdings"/>
      </w:rPr>
    </w:lvl>
    <w:lvl w:ilvl="8" w:tentative="0">
      <w:start w:val="1"/>
      <w:numFmt w:val="bullet"/>
      <w:lvlText w:val=""/>
      <w:lvlJc w:val="left"/>
      <w:pPr>
        <w:tabs>
          <w:tab w:val="left" w:pos="3780"/>
        </w:tabs>
        <w:ind w:left="210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184A844"/>
    <w:multiLevelType w:val="singleLevel"/>
    <w:tmpl w:val="7184A844"/>
    <w:lvl w:ilvl="0" w:tentative="0">
      <w:start w:val="1"/>
      <w:numFmt w:val="bullet"/>
      <w:lvlText w:val=""/>
      <w:lvlJc w:val="left"/>
      <w:pPr>
        <w:ind w:left="420" w:hanging="42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20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87578"/>
    <w:rsid w:val="039B37C7"/>
    <w:rsid w:val="044B421A"/>
    <w:rsid w:val="095F3199"/>
    <w:rsid w:val="10F212F2"/>
    <w:rsid w:val="12483362"/>
    <w:rsid w:val="13E54515"/>
    <w:rsid w:val="141322FB"/>
    <w:rsid w:val="154B4C98"/>
    <w:rsid w:val="17B46DA6"/>
    <w:rsid w:val="1CEB3969"/>
    <w:rsid w:val="1E262080"/>
    <w:rsid w:val="1EA13FCF"/>
    <w:rsid w:val="22F84732"/>
    <w:rsid w:val="33545CD9"/>
    <w:rsid w:val="39A706A6"/>
    <w:rsid w:val="40176BCA"/>
    <w:rsid w:val="40346685"/>
    <w:rsid w:val="5C3C2DB5"/>
    <w:rsid w:val="5DCA5229"/>
    <w:rsid w:val="6038523E"/>
    <w:rsid w:val="61121E6D"/>
    <w:rsid w:val="67A4673A"/>
    <w:rsid w:val="687E7D7B"/>
    <w:rsid w:val="6D601F02"/>
    <w:rsid w:val="73C17630"/>
    <w:rsid w:val="77027617"/>
    <w:rsid w:val="7BA7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tabs>
        <w:tab w:val="left" w:pos="864"/>
        <w:tab w:val="clear" w:pos="432"/>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List 2"/>
    <w:basedOn w:val="7"/>
    <w:unhideWhenUsed/>
    <w:qFormat/>
    <w:uiPriority w:val="99"/>
    <w:pPr>
      <w:ind w:left="100" w:leftChars="200" w:hanging="200" w:hangingChars="200"/>
      <w:contextualSpacing/>
    </w:pPr>
  </w:style>
  <w:style w:type="paragraph" w:styleId="7">
    <w:name w:val="List"/>
    <w:basedOn w:val="1"/>
    <w:unhideWhenUsed/>
    <w:qFormat/>
    <w:uiPriority w:val="99"/>
    <w:pPr>
      <w:ind w:left="200" w:hanging="200" w:hangingChars="200"/>
      <w:contextualSpacing/>
    </w:pPr>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7"/>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5">
    <w:name w:val="B2"/>
    <w:basedOn w:val="6"/>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2025-05-09T08:24:17Z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